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388787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2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2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2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595-т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4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4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84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847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 29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ноября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2020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года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29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оября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горячую воду для расчетов с потребителями микрорайона Маргулова поселка Тазовский муниципального образования муниципальный округ Тазовский район Ямало-Ненецкого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автономного округа, на 2020 - 2025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1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847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847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2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595-т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26"/>
        <w:ind w:left="10065" w:firstLine="1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10632"/>
        <w:jc w:val="right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от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29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оября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35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7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</w:t>
      </w:r>
      <w:r>
        <w:rPr>
          <w:rFonts w:ascii="Liberation Sans" w:hAnsi="Liberation Sans" w:eastAsia="Liberation Serif" w:cs="Liberation Sans"/>
          <w:sz w:val="24"/>
        </w:rPr>
        <w:t xml:space="preserve">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  <w:tab/>
      </w:r>
      <w:r>
        <w:rPr>
          <w:rFonts w:ascii="Liberation Sans" w:hAnsi="Liberation Sans" w:eastAsia="Liberation Serif" w:cs="Liberation Sans"/>
          <w:sz w:val="24"/>
        </w:rPr>
        <w:tab/>
        <w:tab/>
        <w:tab/>
        <w:tab/>
      </w:r>
      <w:r>
        <w:rPr>
          <w:rFonts w:ascii="Liberation Sans" w:hAnsi="Liberation Sans" w:cs="Liberation Sans"/>
        </w:rPr>
      </w:r>
      <w:r/>
    </w:p>
    <w:p>
      <w:pPr>
        <w:pStyle w:val="826"/>
        <w:ind w:left="8508" w:firstLine="696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sz w:val="24"/>
        </w:rPr>
        <w:t xml:space="preserve">«Приложение </w:t>
      </w:r>
      <w:r/>
    </w:p>
    <w:p>
      <w:pPr>
        <w:pStyle w:val="826"/>
        <w:ind w:left="8508" w:firstLine="6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</w:t>
      </w:r>
      <w:r>
        <w:rPr>
          <w:rFonts w:ascii="Liberation Sans" w:hAnsi="Liberation Sans" w:eastAsia="Liberation Serif" w:cs="Liberation Sans"/>
          <w:sz w:val="24"/>
        </w:rPr>
        <w:t xml:space="preserve">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</w:t>
      </w:r>
      <w:r>
        <w:rPr>
          <w:rFonts w:ascii="Liberation Sans" w:hAnsi="Liberation Sans" w:eastAsia="Liberation Serif" w:cs="Liberation Sans"/>
          <w:sz w:val="24"/>
        </w:rPr>
        <w:t xml:space="preserve">29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sz w:val="24"/>
        </w:rPr>
        <w:t xml:space="preserve">ноября</w:t>
      </w:r>
      <w:r>
        <w:rPr>
          <w:rFonts w:ascii="Liberation Sans" w:hAnsi="Liberation Sans" w:eastAsia="Liberation Serif" w:cs="Liberation Sans"/>
          <w:sz w:val="24"/>
        </w:rPr>
        <w:t xml:space="preserve"> 20</w:t>
      </w:r>
      <w:r>
        <w:rPr>
          <w:rFonts w:ascii="Liberation Sans" w:hAnsi="Liberation Sans" w:eastAsia="Liberation Serif" w:cs="Liberation Sans"/>
          <w:sz w:val="24"/>
        </w:rPr>
        <w:t xml:space="preserve">20</w:t>
      </w:r>
      <w:r>
        <w:rPr>
          <w:rFonts w:ascii="Liberation Sans" w:hAnsi="Liberation Sans" w:eastAsia="Liberation Serif" w:cs="Liberation Sans"/>
          <w:sz w:val="24"/>
        </w:rPr>
        <w:t xml:space="preserve"> года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3</w:t>
      </w:r>
      <w:r>
        <w:rPr>
          <w:rFonts w:ascii="Liberation Sans" w:hAnsi="Liberation Sans" w:eastAsia="Liberation Serif" w:cs="Liberation Sans"/>
          <w:sz w:val="24"/>
        </w:rPr>
        <w:t xml:space="preserve">5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10065" w:hanging="709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595-т</w:t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ТАРИФЫ НА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ГОРЯЧУЮ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ВОДУ, УСТАНОВЛЕННЫЕ ФИЛИАЛУ АКЦИОНЕРНОГО ОБЩЕСТВА «ЯМАЛКОММУНЭНЕРГО»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В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ТАЗОВСКО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М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РАЙОНЕ ДЛЯ РАСЧЕТОВ С ПОТРЕБИТЕЛЯМИ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МИКРОРАЙОНА МАРГУЛОВА ПОСЕЛКА ТАЗОВСКИЙ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НА 2020- 2025 ГОДЫ</w:t>
      </w:r>
      <w:r>
        <w:rPr>
          <w:rFonts w:ascii="Liberation Sans" w:hAnsi="Liberation Sans" w:cs="Liberation Sans"/>
        </w:rPr>
      </w:r>
      <w:r/>
    </w:p>
    <w:p>
      <w:pPr>
        <w:pStyle w:val="826"/>
        <w:contextualSpacing w:val="0"/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tbl>
      <w:tblPr>
        <w:tblpPr w:horzAnchor="margin" w:tblpXSpec="center" w:vertAnchor="text" w:tblpY="125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051"/>
        <w:gridCol w:w="1155"/>
        <w:gridCol w:w="3327"/>
        <w:gridCol w:w="3329"/>
        <w:gridCol w:w="3391"/>
      </w:tblGrid>
      <w:tr>
        <w:trPr/>
        <w:tc>
          <w:tcPr>
            <w:tcBorders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Потребители, оплачивающие услуги систем водоснабж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ения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Год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Тариф на горячую воду,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655,59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6358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31.12.2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020 – 218,48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6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655,59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6358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6420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30.06.2021 - 218,48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09.10.2021 - 244,76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10.10.2021 по 31.12.2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021 - 2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74,13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51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01.01.2022 по 30.06.2022 – 6420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6985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7273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274,13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01.07.2022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314,06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7273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5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24 – 7254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7254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362,07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425,43</w:t>
            </w:r>
            <w:r/>
          </w:p>
        </w:tc>
      </w:tr>
      <w:tr>
        <w:trPr>
          <w:cantSplit/>
          <w:trHeight w:val="40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7149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6779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.2025 по 30.06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.2025 – 304,64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284,62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Потребители, имеющие право на льготные тарифы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consultantplus://offline/ref=A2787EE4E6ABC20B4F79025B5B987B7392484D54B26746B9BF2C5713AA0E1379695BEEE528F61A6702A62EECI1F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руб./м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3 (без НДС)</w:t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125,48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1264,48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43,78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125,48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1264,48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.2021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1307,47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43,78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43,78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1307,47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1351,9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1473,58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43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46,80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51,01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1473,58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51,01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67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1473,58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1591,47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51,01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55,08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62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consultantplus://offline/ref=437D7E286C2EEB09A9A2DDA9583EBA80A2A05C43B7616C40FC3A16F178ED6711A719FDECDCDFAB027659BCk0I2F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nsultantplus://offline/ref=437D7E286C2EEB09A9A2DDA9583EBA80A2A05C43B7616C40FC3A16F178ED6711A719FDECDCDFAB027659BCk0I3F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150,57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1517,37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.2021 по 30.06.2021 – 150,57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1517,37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1568,96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1568,96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1768,30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56,16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61,21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1768,30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61,21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1768,30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1909,76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61,21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024 – 66,10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26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26"/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</w:tbl>
    <w:p>
      <w:pPr>
        <w:ind w:left="0" w:right="0" w:firstLine="540"/>
        <w:jc w:val="both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указан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color w:val="000000" w:themeColor="text1"/>
        </w:rPr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ию выпадающих доходов организациям коммунального комплекса». </w:t>
      </w:r>
      <w:r>
        <w:rPr>
          <w:sz w:val="18"/>
          <w:szCs w:val="18"/>
        </w:rPr>
      </w:r>
      <w:r/>
    </w:p>
    <w:p>
      <w:pPr>
        <w:pStyle w:val="826"/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Федерации.</w:t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851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42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28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42">
    <w:name w:val="Гиперссылка"/>
    <w:next w:val="842"/>
    <w:link w:val="826"/>
    <w:rPr>
      <w:color w:val="0000ff"/>
      <w:u w:val="single"/>
    </w:rPr>
  </w:style>
  <w:style w:type="paragraph" w:styleId="843">
    <w:name w:val="Текст выноски"/>
    <w:basedOn w:val="826"/>
    <w:next w:val="843"/>
    <w:link w:val="844"/>
    <w:rPr>
      <w:rFonts w:ascii="Tahoma" w:hAnsi="Tahoma"/>
      <w:sz w:val="16"/>
      <w:szCs w:val="16"/>
      <w:lang w:val="en-US" w:eastAsia="en-US"/>
    </w:rPr>
  </w:style>
  <w:style w:type="character" w:styleId="844">
    <w:name w:val="Текст выноски Знак"/>
    <w:next w:val="844"/>
    <w:link w:val="843"/>
    <w:rPr>
      <w:rFonts w:ascii="Tahoma" w:hAnsi="Tahoma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2023-12-17T11:16:47Z</dcterms:modified>
</cp:coreProperties>
</file>